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0F29" w14:textId="77777777" w:rsidR="00467A32" w:rsidRDefault="00467A32" w:rsidP="00467A32">
      <w:pPr>
        <w:pStyle w:val="ConsPlusTitle"/>
        <w:jc w:val="center"/>
        <w:outlineLvl w:val="1"/>
      </w:pPr>
      <w:r>
        <w:t>VIII. Целевые значения критериев доступности и качества</w:t>
      </w:r>
    </w:p>
    <w:p w14:paraId="247E6EE3" w14:textId="77777777" w:rsidR="00467A32" w:rsidRDefault="00467A32" w:rsidP="00467A32">
      <w:pPr>
        <w:pStyle w:val="ConsPlusTitle"/>
        <w:jc w:val="center"/>
      </w:pPr>
      <w:r>
        <w:t>медицинской помощи, оказываемой в рамках Программы</w:t>
      </w:r>
    </w:p>
    <w:p w14:paraId="2170CFE3" w14:textId="77777777" w:rsidR="00467A32" w:rsidRDefault="00467A32" w:rsidP="00467A32">
      <w:pPr>
        <w:pStyle w:val="ConsPlusNormal"/>
        <w:ind w:firstLine="540"/>
        <w:jc w:val="both"/>
      </w:pPr>
    </w:p>
    <w:p w14:paraId="7FE3EDA2" w14:textId="77777777" w:rsidR="00467A32" w:rsidRDefault="00467A32" w:rsidP="00467A32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14:paraId="66206C91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1) удовлетворенность населения доступностью медицинской помощи (процентов числа опрошенных) - 74,5%, в том числе городского (процентов числа опрошенных) - 67,4%, сельского населения (процентов числа опрошенных) - 74,0%;</w:t>
      </w:r>
    </w:p>
    <w:p w14:paraId="04F1D550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2) доля расходов на оказание медицинской помощи в условиях дневных стационаров в общих расходах на Программу - 7,8%;</w:t>
      </w:r>
    </w:p>
    <w:p w14:paraId="4C912159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3) доля расходов на оказание медицинской помощи в амбулаторных условиях в неотложной форме в общих расходах на Программу - 1,8%;</w:t>
      </w:r>
    </w:p>
    <w:p w14:paraId="76B93184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4) 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страхования, - 5%;</w:t>
      </w:r>
    </w:p>
    <w:p w14:paraId="39AD7B28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5) 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 - 83%;</w:t>
      </w:r>
    </w:p>
    <w:p w14:paraId="4F5A7E14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6) число пациентов, которым оказана паллиативная медицинская помощь по месту их фактического пребывания за пределами Новосибирской области, на территории которой указанные пациенты зарегистрированы по месту жительства, - 0 человек;</w:t>
      </w:r>
    </w:p>
    <w:p w14:paraId="5DA3A938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7) число пациентов, зарегистрированных на территории Новосибирской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соглашения, - 0 детей;</w:t>
      </w:r>
    </w:p>
    <w:p w14:paraId="6A9FAF05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8) 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заболеваниями, - 82%;</w:t>
      </w:r>
    </w:p>
    <w:p w14:paraId="0B0A3F51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9) 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наблюдения, - 95%;</w:t>
      </w:r>
    </w:p>
    <w:p w14:paraId="232BBA81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10) доля граждан, обеспеченных лекарственными препаратами, в общем количестве льготных категорий граждан - 99%;</w:t>
      </w:r>
    </w:p>
    <w:p w14:paraId="5F9EA38E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11) 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крови, - 85%;</w:t>
      </w:r>
    </w:p>
    <w:p w14:paraId="63F55D5E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12) 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помощь, - 161;</w:t>
      </w:r>
    </w:p>
    <w:p w14:paraId="570BD6BC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13) оперативная активность на одну занятую должность врача хирургической специальности - 65%.</w:t>
      </w:r>
    </w:p>
    <w:p w14:paraId="7C39C03C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Критериями качества медицинской помощи являются:</w:t>
      </w:r>
    </w:p>
    <w:p w14:paraId="4E90CB1C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1) 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 - 2,8%;</w:t>
      </w:r>
    </w:p>
    <w:p w14:paraId="23CCE131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2) 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 - 2,2%;</w:t>
      </w:r>
    </w:p>
    <w:p w14:paraId="05E7DD7C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 xml:space="preserve">3) доля впервые выявленных онкологических заболеваний при профилактических </w:t>
      </w:r>
      <w:r>
        <w:lastRenderedPageBreak/>
        <w:t>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 - 8%;</w:t>
      </w:r>
    </w:p>
    <w:p w14:paraId="2B2898DE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4) 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осмотры, - 0,2%;</w:t>
      </w:r>
    </w:p>
    <w:p w14:paraId="4F7D46AD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5) 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 - 96,9%;</w:t>
      </w:r>
    </w:p>
    <w:p w14:paraId="140D465F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6) 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 - 90%;</w:t>
      </w:r>
    </w:p>
    <w:p w14:paraId="5C517716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 xml:space="preserve">7) доля пациентов с острым инфарктом миокарда, которым проведено </w:t>
      </w:r>
      <w:proofErr w:type="spellStart"/>
      <w:r>
        <w:t>стентирование</w:t>
      </w:r>
      <w:proofErr w:type="spellEnd"/>
      <w:r>
        <w:t xml:space="preserve"> коронарных артерий, в общем количестве пациентов с острым инфарктом миокарда, имеющих показания к его проведению, - 90%;</w:t>
      </w:r>
    </w:p>
    <w:p w14:paraId="3C527942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 xml:space="preserve">8) 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>
        <w:t>тромболизис</w:t>
      </w:r>
      <w:proofErr w:type="spellEnd"/>
      <w:r>
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помощи, - 95%;</w:t>
      </w:r>
    </w:p>
    <w:p w14:paraId="4302B2E4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 xml:space="preserve">9) доля пациентов с острым инфарктом миокарда, которым проведена </w:t>
      </w:r>
      <w:proofErr w:type="spellStart"/>
      <w:r>
        <w:t>тромболитическая</w:t>
      </w:r>
      <w:proofErr w:type="spellEnd"/>
      <w:r>
        <w:t xml:space="preserve"> терапия в первые 12 часов от начала заболевания, в общем количестве пациентов с острым инфарктом миокарда, имеющих показания к ее проведению, - 95%;</w:t>
      </w:r>
    </w:p>
    <w:p w14:paraId="5995AD78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10) 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Программой, - 25%;</w:t>
      </w:r>
    </w:p>
    <w:p w14:paraId="5E2CA9DC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11) 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 - 40%;</w:t>
      </w:r>
    </w:p>
    <w:p w14:paraId="727D51E2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 xml:space="preserve">12) 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заболевания, - 10%;</w:t>
      </w:r>
    </w:p>
    <w:p w14:paraId="4CBB39B2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 xml:space="preserve">13) доля пациентов с острым ишемическим инсультом, которым проведена </w:t>
      </w:r>
      <w:proofErr w:type="spellStart"/>
      <w:r>
        <w:t>тромболитическая</w:t>
      </w:r>
      <w:proofErr w:type="spellEnd"/>
      <w: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центры, - 10%;</w:t>
      </w:r>
    </w:p>
    <w:p w14:paraId="45A13F66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14) 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помощи, - 98%;</w:t>
      </w:r>
    </w:p>
    <w:p w14:paraId="560A0ECF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15) доля пациентов, получающих лечебное (</w:t>
      </w:r>
      <w:proofErr w:type="spellStart"/>
      <w:r>
        <w:t>энтеральное</w:t>
      </w:r>
      <w:proofErr w:type="spellEnd"/>
      <w:r>
        <w:t>) питание в рамках оказания паллиативной медицинской помощи, в общем количестве пациентов, нуждающихся в лечебном (</w:t>
      </w:r>
      <w:proofErr w:type="spellStart"/>
      <w:r>
        <w:t>энтеральном</w:t>
      </w:r>
      <w:proofErr w:type="spellEnd"/>
      <w:r>
        <w:t>) питании при оказании паллиативной медицинской помощи, - 70%;</w:t>
      </w:r>
    </w:p>
    <w:p w14:paraId="5AE70479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16) доля лиц репродуктивного возраста, прошедших диспансеризацию для оценки репродуктивного здоровья (отдельно по мужчинам и женщинам), - 35%;</w:t>
      </w:r>
    </w:p>
    <w:p w14:paraId="6BA377A9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17) 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бесплодие", - 100%;</w:t>
      </w:r>
    </w:p>
    <w:p w14:paraId="79328933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18) число циклов экстракорпорального оплодотворения, выполняемых медицинской организацией в течение одного года, - 100 и более случаев;</w:t>
      </w:r>
    </w:p>
    <w:p w14:paraId="22C65EA4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19) доля случаев экстракорпорального оплодотворения, по результатам которого у женщины наступила беременность, - 17%;</w:t>
      </w:r>
    </w:p>
    <w:p w14:paraId="2F298FD2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lastRenderedPageBreak/>
        <w:t>20) 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эмбрионов), - 10%;</w:t>
      </w:r>
    </w:p>
    <w:p w14:paraId="687F47C0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21) 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Программы, - 474;</w:t>
      </w:r>
    </w:p>
    <w:p w14:paraId="75F07021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22) охват диспансерным наблюдением граждан, состоящих на учете в медицинской организации с диагнозом "хроническая обструктивная болезнь легких", - 80%;</w:t>
      </w:r>
    </w:p>
    <w:p w14:paraId="240AAAF6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23) доля пациентов с диагнозом "хроническая сердечная недостаточность", находящихся под диспансерным наблюдением, получающих лекарственное обеспечение, - 30%;</w:t>
      </w:r>
    </w:p>
    <w:p w14:paraId="484D5457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24) охват диспансерным наблюдением граждан, состоящих на учете в медицинской организации с диагнозом "гипертоническая болезнь", - 35%;</w:t>
      </w:r>
    </w:p>
    <w:p w14:paraId="59A9778E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25) охват диспансерным наблюдением граждан, состоящих на учете в медицинской организации с диагнозом "сахарный диабет", - 70,3% в год;</w:t>
      </w:r>
    </w:p>
    <w:p w14:paraId="555C5648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26) количество пациентов с гепатитом C, получивших противовирусную терапию, на 100 тыс. населения в год - 16,5;</w:t>
      </w:r>
    </w:p>
    <w:p w14:paraId="5266DDE0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27) доля ветеранов боевых действий, получивших паллиативную медицинскую помощь и (или) лечебное (</w:t>
      </w:r>
      <w:proofErr w:type="spellStart"/>
      <w:r>
        <w:t>энтеральное</w:t>
      </w:r>
      <w:proofErr w:type="spellEnd"/>
      <w:r>
        <w:t>) питание, из числа нуждающихся - 100%;</w:t>
      </w:r>
    </w:p>
    <w:p w14:paraId="4F5AAC6C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28) 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 - 75%;</w:t>
      </w:r>
    </w:p>
    <w:p w14:paraId="6495811A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29) доля пациентов, прооперированных в течение 2 (двух) дней после поступления в стационар по поводу перелома шейки бедра, от всех прооперированных по поводу указанного диагноза - 75%;</w:t>
      </w:r>
    </w:p>
    <w:p w14:paraId="5686A26D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30) 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населения;</w:t>
      </w:r>
    </w:p>
    <w:p w14:paraId="06122397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31) доля пациентов старше 65 лет, взятых на диспансерное наблюдение с диагнозами "Остеопороз с патологическим переломом" (код МКБ-10 - M80), "Остеопороз без патологического перелома" (код МКБ-10 - M81), - 95%;</w:t>
      </w:r>
    </w:p>
    <w:p w14:paraId="00EC123B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32) 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"остеопороз" и назначена базисная и патогенетическая терапия остеопороза в соответствии с клиническими рекомендациями, - 75%;</w:t>
      </w:r>
    </w:p>
    <w:p w14:paraId="7B8401A6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33) 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населения, - 10%;</w:t>
      </w:r>
    </w:p>
    <w:p w14:paraId="1240418F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34) 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определенных групп взрослого населения, - 7%;</w:t>
      </w:r>
    </w:p>
    <w:p w14:paraId="461FBA87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35) 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населения, - 10%.</w:t>
      </w:r>
    </w:p>
    <w:p w14:paraId="4A43B3FE" w14:textId="77777777" w:rsidR="00467A32" w:rsidRDefault="00467A32" w:rsidP="00467A32">
      <w:pPr>
        <w:pStyle w:val="ConsPlusNormal"/>
        <w:spacing w:before="200"/>
        <w:ind w:firstLine="540"/>
        <w:jc w:val="both"/>
      </w:pPr>
      <w:r>
        <w:t>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</w:p>
    <w:p w14:paraId="225D0725" w14:textId="77777777" w:rsidR="00467A32" w:rsidRPr="00467A32" w:rsidRDefault="00467A32" w:rsidP="00467A32">
      <w:pPr>
        <w:pStyle w:val="ConsPlusNormal"/>
        <w:spacing w:before="200"/>
        <w:ind w:firstLine="540"/>
        <w:jc w:val="both"/>
      </w:pPr>
      <w:r>
        <w:t xml:space="preserve">Кроме того,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</w:t>
      </w:r>
      <w:r w:rsidRPr="00467A32">
        <w:lastRenderedPageBreak/>
        <w:t>должности, показателей использования коечного фонда).</w:t>
      </w:r>
    </w:p>
    <w:p w14:paraId="65E7D12F" w14:textId="77777777" w:rsidR="00467A32" w:rsidRPr="00467A32" w:rsidRDefault="00467A32" w:rsidP="00467A32">
      <w:pPr>
        <w:pStyle w:val="ConsPlusNormal"/>
        <w:spacing w:before="200"/>
        <w:ind w:firstLine="540"/>
        <w:jc w:val="both"/>
      </w:pPr>
      <w:r w:rsidRPr="00467A32">
        <w:t>Критериями доступности медицинской помощи, оказываемой медицинскими организациями, подведомственными федеральным органам исполнительной власти, являются:</w:t>
      </w:r>
    </w:p>
    <w:p w14:paraId="0950E181" w14:textId="77777777" w:rsidR="00467A32" w:rsidRPr="00467A32" w:rsidRDefault="00467A32" w:rsidP="00467A32">
      <w:pPr>
        <w:pStyle w:val="ConsPlusNormal"/>
        <w:spacing w:before="200"/>
        <w:ind w:firstLine="540"/>
        <w:jc w:val="both"/>
      </w:pPr>
      <w:r w:rsidRPr="00467A32">
        <w:t xml:space="preserve">доля объема средств, направленных на оказание специализированной, в том числе высокотехнологичной, медицинской помощи с коэффициентом относительной </w:t>
      </w:r>
      <w:proofErr w:type="spellStart"/>
      <w:r w:rsidRPr="00467A32">
        <w:t>затратоемкости</w:t>
      </w:r>
      <w:proofErr w:type="spellEnd"/>
      <w:r w:rsidRPr="00467A32">
        <w:t xml:space="preserve">, равным 2 и более, в общем объеме средств, направленных на оказание специализированной, в том числе высокотехнологичной, </w:t>
      </w:r>
      <w:bookmarkStart w:id="0" w:name="_GoBack"/>
      <w:bookmarkEnd w:id="0"/>
      <w:r w:rsidRPr="00467A32">
        <w:t xml:space="preserve">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</w:t>
      </w:r>
      <w:proofErr w:type="spellStart"/>
      <w:r w:rsidRPr="00467A32">
        <w:t>затратоемкости</w:t>
      </w:r>
      <w:proofErr w:type="spellEnd"/>
      <w:r w:rsidRPr="00467A32">
        <w:t>, равным менее 2 (для образовательных организаций высшего образования, осуществляющих оказание медицинской помощи в 2026 - 2028 годах, не менее 65 процентов, для остальных федеральных медицинских организаций в 2026 году - не менее 75 процентов, в 2027 - 2028 годах - не менее 80 процентов).</w:t>
      </w:r>
    </w:p>
    <w:p w14:paraId="7EE7B4C7" w14:textId="77777777" w:rsidR="00467A32" w:rsidRPr="00467A32" w:rsidRDefault="00467A32" w:rsidP="00467A32">
      <w:pPr>
        <w:pStyle w:val="ConsPlusNormal"/>
        <w:spacing w:before="200"/>
        <w:ind w:firstLine="540"/>
        <w:jc w:val="both"/>
      </w:pPr>
      <w:r w:rsidRPr="00467A32">
        <w:t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федеральных проектах национального проекта "Продолжительная и активная жизнь", в том числе в федеральном проекте "Здоровье для каждого".</w:t>
      </w:r>
    </w:p>
    <w:p w14:paraId="3C5D3DAD" w14:textId="44B6B15C" w:rsidR="00F217E0" w:rsidRPr="00467A32" w:rsidRDefault="00467A32" w:rsidP="00467A32">
      <w:pPr>
        <w:rPr>
          <w:rFonts w:ascii="Arial" w:hAnsi="Arial" w:cs="Arial"/>
        </w:rPr>
      </w:pPr>
      <w:r w:rsidRPr="00467A32">
        <w:rPr>
          <w:rFonts w:ascii="Arial" w:hAnsi="Arial" w:cs="Arial"/>
        </w:rPr>
        <w:t>Оценка достижения критериев доступности и качества медицинской помощи осуществляется министерством здравоохранения Новосибирской области один раз в полгода с направлением соответствующих данных в Министерство здравоохранения Российской Федерации</w:t>
      </w:r>
    </w:p>
    <w:p w14:paraId="2FBEE912" w14:textId="77777777" w:rsidR="00467A32" w:rsidRDefault="00467A32" w:rsidP="00467A32"/>
    <w:sectPr w:rsidR="00467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C4"/>
    <w:rsid w:val="001377C4"/>
    <w:rsid w:val="00467A32"/>
    <w:rsid w:val="00B27718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F4F6C"/>
  <w15:chartTrackingRefBased/>
  <w15:docId w15:val="{B20F50F7-496B-4931-AC91-C50A507A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A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67A3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1759</Words>
  <Characters>10032</Characters>
  <Application>Microsoft Office Word</Application>
  <DocSecurity>0</DocSecurity>
  <Lines>83</Lines>
  <Paragraphs>23</Paragraphs>
  <ScaleCrop>false</ScaleCrop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Колунова Анастасия Денисовна</dc:creator>
  <cp:keywords/>
  <dc:description/>
  <cp:lastModifiedBy>Колунова Анастасия Денисовна</cp:lastModifiedBy>
  <cp:revision>2</cp:revision>
  <dcterms:created xsi:type="dcterms:W3CDTF">2026-03-19T11:00:00Z</dcterms:created>
  <dcterms:modified xsi:type="dcterms:W3CDTF">2026-03-19T11:01:00Z</dcterms:modified>
</cp:coreProperties>
</file>